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01" w:rsidRDefault="00FA57B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后勤</w:t>
      </w:r>
      <w:r>
        <w:rPr>
          <w:b/>
          <w:bCs/>
          <w:sz w:val="44"/>
          <w:szCs w:val="44"/>
        </w:rPr>
        <w:t>保障部</w:t>
      </w:r>
      <w:r>
        <w:rPr>
          <w:rFonts w:hint="eastAsia"/>
          <w:b/>
          <w:bCs/>
          <w:sz w:val="44"/>
          <w:szCs w:val="44"/>
        </w:rPr>
        <w:t>内部控制建设实施方案</w:t>
      </w:r>
    </w:p>
    <w:p w:rsidR="00B419D9" w:rsidRDefault="00B419D9">
      <w:pPr>
        <w:spacing w:line="4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</w:p>
    <w:p w:rsidR="00262E01" w:rsidRDefault="00AA224D">
      <w:pPr>
        <w:spacing w:line="44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全面推进行政事业单位内部控制建设的指导意见》（财会[2015]24号）、《教育部直属高校经济活动内部控制指南（试行）》（教财厅[2016]2号）、《行政事业单位内部控制规范（试行）》（财会[2012]21号）的要求，后勤保障部需全面推进内部控制建设，以提高内部管理水平。</w:t>
      </w:r>
    </w:p>
    <w:p w:rsidR="00262E01" w:rsidRDefault="00AA224D">
      <w:pPr>
        <w:spacing w:line="440" w:lineRule="exact"/>
        <w:ind w:firstLineChars="228" w:firstLine="64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一、组织机构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在内部控制建设的初期阶段，后勤保障部成立内部控制建设小组，发挥领导、指挥的作用。内部控制建设小组的组成如下：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组长：祁晓红、李万里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副组长：豆永杰、李升红、王斌、董胜明、苏振博、张海涛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组员：各中心、各科室主任</w:t>
      </w:r>
    </w:p>
    <w:p w:rsidR="00262E01" w:rsidRDefault="00AA224D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二、职责分工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（一）计划财务科负责财务风险的防控，通过资金流的梳理辅助或者印证各中心的风险分析。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（二）综合办公室主要负责事务性的工作，比如：组织各中心主任或者责任人开会进行讨论或者调研、内部控制手册的汇总制作、相关制度的发布等。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（三）其他科室及各中心负责本部门业务流程的梳理、风险识别、制度建设、内部控制手册内容的编写等。</w:t>
      </w:r>
    </w:p>
    <w:p w:rsidR="00262E01" w:rsidRDefault="00AA224D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三、主要任务及安排</w:t>
      </w:r>
    </w:p>
    <w:p w:rsidR="00262E01" w:rsidRDefault="00AA224D">
      <w:pPr>
        <w:numPr>
          <w:ilvl w:val="0"/>
          <w:numId w:val="1"/>
        </w:numPr>
        <w:tabs>
          <w:tab w:val="left" w:pos="723"/>
        </w:tabs>
        <w:spacing w:line="440" w:lineRule="exact"/>
        <w:ind w:leftChars="227" w:left="477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培训（2019年3月）</w:t>
      </w:r>
    </w:p>
    <w:p w:rsidR="00262E01" w:rsidRDefault="00AA224D">
      <w:pPr>
        <w:tabs>
          <w:tab w:val="left" w:pos="723"/>
        </w:tabs>
        <w:spacing w:line="440" w:lineRule="exact"/>
        <w:ind w:leftChars="227" w:left="47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请管理学院万红波教授对管理专责以上人员进行培训。</w:t>
      </w:r>
    </w:p>
    <w:p w:rsidR="00262E01" w:rsidRDefault="00AA224D">
      <w:pPr>
        <w:numPr>
          <w:ilvl w:val="0"/>
          <w:numId w:val="1"/>
        </w:numPr>
        <w:tabs>
          <w:tab w:val="left" w:pos="723"/>
        </w:tabs>
        <w:spacing w:line="440" w:lineRule="exact"/>
        <w:ind w:leftChars="227" w:left="477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业务流程梳理（2019年3月至2019年4月）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如：物业中心停车费收取业务、物业中心零星维修业务、材料采供科采购业务、质量监督科现场管理业务等。每个中心涉及的所有业务均需进行流程梳理，针对每种业务需要对流程进行描述、画出流程图、确定关键点。一个业务可能需要分不同情况画出多张流程图。</w:t>
      </w:r>
    </w:p>
    <w:p w:rsidR="00262E01" w:rsidRDefault="00AA224D">
      <w:pPr>
        <w:numPr>
          <w:ilvl w:val="0"/>
          <w:numId w:val="1"/>
        </w:numPr>
        <w:tabs>
          <w:tab w:val="left" w:pos="723"/>
        </w:tabs>
        <w:spacing w:line="440" w:lineRule="exact"/>
        <w:ind w:leftChars="227" w:left="477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风险识别（2019年5月）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通过流程梳理找出每种业务面临的多个风险点，对风险点进行描述，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确定风险级别，明确责任岗位，列举控制措施、控制类型、控制频率。</w:t>
      </w:r>
    </w:p>
    <w:p w:rsidR="00262E01" w:rsidRDefault="00AA224D">
      <w:pPr>
        <w:numPr>
          <w:ilvl w:val="0"/>
          <w:numId w:val="1"/>
        </w:numPr>
        <w:tabs>
          <w:tab w:val="left" w:pos="723"/>
        </w:tabs>
        <w:spacing w:line="440" w:lineRule="exact"/>
        <w:ind w:leftChars="227" w:left="477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制度建设（长期）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针对识别出的风险，查摆现有制度是否具有防控风险的能力。过时的制度需要更新，制度空白需要制定相应的制度。</w:t>
      </w:r>
    </w:p>
    <w:p w:rsidR="00262E01" w:rsidRDefault="00AA224D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四、举例</w:t>
      </w:r>
    </w:p>
    <w:p w:rsidR="00262E01" w:rsidRDefault="00AA224D">
      <w:pPr>
        <w:spacing w:line="4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bookmarkStart w:id="0" w:name="_Toc470610205"/>
      <w:bookmarkStart w:id="1" w:name="_Toc502397241"/>
      <w:r>
        <w:rPr>
          <w:rFonts w:ascii="仿宋" w:eastAsia="仿宋" w:hAnsi="仿宋" w:cs="仿宋" w:hint="eastAsia"/>
          <w:sz w:val="28"/>
          <w:szCs w:val="28"/>
        </w:rPr>
        <w:t>以饮食中心的原材料验收业务的内部控制为例</w:t>
      </w:r>
    </w:p>
    <w:p w:rsidR="00262E01" w:rsidRDefault="00AA224D">
      <w:pPr>
        <w:spacing w:line="4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（一）业务内容</w:t>
      </w:r>
      <w:bookmarkEnd w:id="0"/>
      <w:bookmarkEnd w:id="1"/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对收到的直接进入后厨的饮食原材料进行验收。</w:t>
      </w:r>
    </w:p>
    <w:p w:rsidR="00262E01" w:rsidRDefault="00AA224D">
      <w:pPr>
        <w:spacing w:line="4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bookmarkStart w:id="2" w:name="_Toc470610206"/>
      <w:bookmarkStart w:id="3" w:name="_Toc502397242"/>
      <w:r>
        <w:rPr>
          <w:rFonts w:ascii="仿宋" w:eastAsia="仿宋" w:hAnsi="仿宋" w:cs="仿宋" w:hint="eastAsia"/>
          <w:sz w:val="28"/>
          <w:szCs w:val="28"/>
        </w:rPr>
        <w:t>（二）控制目标</w:t>
      </w:r>
      <w:bookmarkEnd w:id="2"/>
      <w:bookmarkEnd w:id="3"/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核实所收到的原材料数量和质量是否符合要求。</w:t>
      </w:r>
    </w:p>
    <w:p w:rsidR="00262E01" w:rsidRDefault="00AA224D">
      <w:pPr>
        <w:spacing w:line="440" w:lineRule="exact"/>
        <w:ind w:firstLineChars="200" w:firstLine="560"/>
        <w:outlineLvl w:val="1"/>
        <w:rPr>
          <w:rFonts w:ascii="仿宋" w:eastAsia="仿宋" w:hAnsi="仿宋" w:cs="仿宋"/>
          <w:sz w:val="28"/>
          <w:szCs w:val="28"/>
        </w:rPr>
      </w:pPr>
      <w:bookmarkStart w:id="4" w:name="_Toc502397243"/>
      <w:bookmarkStart w:id="5" w:name="_Toc470610207"/>
      <w:r>
        <w:rPr>
          <w:rFonts w:ascii="仿宋" w:eastAsia="仿宋" w:hAnsi="仿宋" w:cs="仿宋" w:hint="eastAsia"/>
          <w:sz w:val="28"/>
          <w:szCs w:val="28"/>
        </w:rPr>
        <w:t>（三）审批权限</w:t>
      </w:r>
      <w:bookmarkEnd w:id="4"/>
      <w:bookmarkEnd w:id="5"/>
    </w:p>
    <w:p w:rsidR="00262E01" w:rsidRDefault="00AA224D">
      <w:pPr>
        <w:numPr>
          <w:ilvl w:val="0"/>
          <w:numId w:val="2"/>
        </w:numPr>
        <w:spacing w:line="440" w:lineRule="exact"/>
        <w:ind w:firstLine="2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采购总额3万元以下由仓库管理员组织饮食中心进行验收。</w:t>
      </w:r>
    </w:p>
    <w:p w:rsidR="00262E01" w:rsidRDefault="00AA224D">
      <w:pPr>
        <w:numPr>
          <w:ilvl w:val="0"/>
          <w:numId w:val="2"/>
        </w:numPr>
        <w:spacing w:line="440" w:lineRule="exact"/>
        <w:ind w:firstLine="2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采购总额3万元以上由材料采供科组织专项验收。</w:t>
      </w:r>
    </w:p>
    <w:p w:rsidR="00262E01" w:rsidRDefault="00AA224D">
      <w:pPr>
        <w:numPr>
          <w:ilvl w:val="0"/>
          <w:numId w:val="2"/>
        </w:numPr>
        <w:spacing w:line="440" w:lineRule="exact"/>
        <w:ind w:firstLine="2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......</w:t>
      </w:r>
    </w:p>
    <w:p w:rsidR="00262E01" w:rsidRDefault="00AA224D">
      <w:pPr>
        <w:spacing w:line="440" w:lineRule="exact"/>
        <w:ind w:firstLineChars="200" w:firstLine="560"/>
        <w:outlineLvl w:val="1"/>
        <w:rPr>
          <w:rFonts w:ascii="仿宋" w:eastAsia="仿宋" w:hAnsi="仿宋" w:cs="仿宋"/>
          <w:sz w:val="28"/>
          <w:szCs w:val="28"/>
        </w:rPr>
      </w:pPr>
      <w:bookmarkStart w:id="6" w:name="_Toc470610208"/>
      <w:bookmarkStart w:id="7" w:name="_Toc502397244"/>
      <w:r>
        <w:rPr>
          <w:rFonts w:ascii="仿宋" w:eastAsia="仿宋" w:hAnsi="仿宋" w:cs="仿宋" w:hint="eastAsia"/>
          <w:sz w:val="28"/>
          <w:szCs w:val="28"/>
        </w:rPr>
        <w:t>（四）岗位职责</w:t>
      </w:r>
      <w:bookmarkEnd w:id="6"/>
      <w:bookmarkEnd w:id="7"/>
    </w:p>
    <w:p w:rsidR="00262E01" w:rsidRDefault="00AA224D">
      <w:pPr>
        <w:spacing w:line="440" w:lineRule="exact"/>
        <w:ind w:firstLineChars="200" w:firstLine="560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1．涉及部门：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主责部门：材料采供科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仓库管理员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核对凭证：逐一核对订货清单、发货明细表、检验报告、合格证等凭证，相符后方可进入实物检验。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外观检查：检查其外包装上是否已按要求贴上原材料标签，标签上是否已标明原材料编码、名称、数量、规格、生产厂商和生产日期等内容，没有包装的货物外观感官（形、色、味、量等）是否符合要求。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2．协作部门：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（1）质量监督科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负责对原材料进行抽样检查等。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（2）饮食中心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负责对原材料进行精细化验收，按照库房验收标准填写验收单。</w:t>
      </w:r>
    </w:p>
    <w:p w:rsidR="00262E01" w:rsidRDefault="00AA224D">
      <w:pPr>
        <w:spacing w:line="440" w:lineRule="exact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bookmarkStart w:id="8" w:name="_Toc470610209"/>
      <w:bookmarkStart w:id="9" w:name="_Toc502397245"/>
      <w:r>
        <w:rPr>
          <w:rFonts w:ascii="仿宋" w:eastAsia="仿宋" w:hAnsi="仿宋" w:cs="仿宋" w:hint="eastAsia"/>
          <w:sz w:val="28"/>
          <w:szCs w:val="28"/>
        </w:rPr>
        <w:t>（五）业务流程</w:t>
      </w:r>
      <w:bookmarkEnd w:id="8"/>
      <w:bookmarkEnd w:id="9"/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1．流程描述</w:t>
      </w:r>
    </w:p>
    <w:p w:rsidR="00262E01" w:rsidRDefault="00AA224D">
      <w:pPr>
        <w:numPr>
          <w:ilvl w:val="0"/>
          <w:numId w:val="3"/>
        </w:numPr>
        <w:tabs>
          <w:tab w:val="left" w:pos="840"/>
        </w:tabs>
        <w:spacing w:line="440" w:lineRule="exact"/>
        <w:ind w:left="5" w:firstLine="4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核对凭证：逐一核对订货清单、发货明细表、检验报告、合格证等凭证，相符后方可进入实物检验。</w:t>
      </w:r>
    </w:p>
    <w:p w:rsidR="00262E01" w:rsidRDefault="00AA224D">
      <w:pPr>
        <w:numPr>
          <w:ilvl w:val="0"/>
          <w:numId w:val="3"/>
        </w:numPr>
        <w:tabs>
          <w:tab w:val="left" w:pos="840"/>
        </w:tabs>
        <w:spacing w:line="440" w:lineRule="exact"/>
        <w:ind w:left="5" w:firstLine="4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外观检查：检查其外包装上是否已按要求贴上原材料标签，标签上是否已标明原材料编码、名称、数量、规格、生产厂商和生产日期等内容，没有包装的货物外观感官（形、色、味、量等）是否符合要求。</w:t>
      </w:r>
    </w:p>
    <w:p w:rsidR="00262E01" w:rsidRDefault="00AA224D">
      <w:pPr>
        <w:numPr>
          <w:ilvl w:val="0"/>
          <w:numId w:val="3"/>
        </w:numPr>
        <w:tabs>
          <w:tab w:val="left" w:pos="840"/>
        </w:tabs>
        <w:spacing w:line="440" w:lineRule="exact"/>
        <w:ind w:left="5" w:firstLine="4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餐饮服务中心按照库房验收标准对原材料进行精细化验收。</w:t>
      </w:r>
    </w:p>
    <w:p w:rsidR="00262E01" w:rsidRDefault="00AA224D">
      <w:pPr>
        <w:numPr>
          <w:ilvl w:val="0"/>
          <w:numId w:val="3"/>
        </w:numPr>
        <w:tabs>
          <w:tab w:val="left" w:pos="840"/>
        </w:tabs>
        <w:spacing w:line="440" w:lineRule="exact"/>
        <w:ind w:left="5" w:firstLine="4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......</w:t>
      </w:r>
    </w:p>
    <w:p w:rsidR="00262E01" w:rsidRDefault="00AA224D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2．流程图</w:t>
      </w:r>
    </w:p>
    <w:p w:rsidR="00262E01" w:rsidRDefault="00AA22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object w:dxaOrig="9063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28.3pt" o:ole="">
            <v:imagedata r:id="rId8" o:title=""/>
            <o:lock v:ext="edit" aspectratio="f"/>
          </v:shape>
          <o:OLEObject Type="Embed" ProgID="Visio.Drawing.11" ShapeID="_x0000_i1025" DrawAspect="Content" ObjectID="_1614068464" r:id="rId9"/>
        </w:object>
      </w: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A940E9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object w:dxaOrig="1440" w:dyaOrig="1440">
          <v:shape id="_x0000_s1029" type="#_x0000_t75" style="position:absolute;left:0;text-align:left;margin-left:0;margin-top:-89.3pt;width:453.25pt;height:550.85pt;z-index:251658240;mso-wrap-distance-top:0;mso-wrap-distance-bottom:0;mso-width-relative:page;mso-height-relative:page">
            <v:imagedata r:id="rId10" o:title=""/>
            <o:lock v:ext="edit" aspectratio="f"/>
            <w10:wrap type="topAndBottom"/>
          </v:shape>
          <o:OLEObject Type="Embed" ProgID="Visio.Drawing.11" ShapeID="_x0000_s1029" DrawAspect="Content" ObjectID="_1614068465" r:id="rId11"/>
        </w:object>
      </w: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262E01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62E01" w:rsidRDefault="00AA22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3．关键点</w:t>
      </w:r>
    </w:p>
    <w:p w:rsidR="00262E01" w:rsidRDefault="00AA224D">
      <w:pPr>
        <w:numPr>
          <w:ilvl w:val="0"/>
          <w:numId w:val="4"/>
        </w:numPr>
        <w:tabs>
          <w:tab w:val="left" w:pos="840"/>
        </w:tabs>
        <w:spacing w:line="440" w:lineRule="exact"/>
        <w:ind w:left="5" w:firstLine="415"/>
        <w:outlineLvl w:val="0"/>
        <w:rPr>
          <w:rFonts w:ascii="仿宋" w:eastAsia="仿宋" w:hAnsi="仿宋" w:cs="仿宋"/>
          <w:sz w:val="28"/>
          <w:szCs w:val="28"/>
        </w:rPr>
      </w:pPr>
      <w:bookmarkStart w:id="10" w:name="_Toc470610210"/>
      <w:bookmarkStart w:id="11" w:name="_Toc502397246"/>
      <w:r>
        <w:rPr>
          <w:rFonts w:ascii="仿宋" w:eastAsia="仿宋" w:hAnsi="仿宋" w:cs="仿宋" w:hint="eastAsia"/>
          <w:sz w:val="28"/>
          <w:szCs w:val="28"/>
        </w:rPr>
        <w:t>是否具备索证和电子一票通。</w:t>
      </w:r>
    </w:p>
    <w:p w:rsidR="00262E01" w:rsidRDefault="00AA224D">
      <w:pPr>
        <w:numPr>
          <w:ilvl w:val="0"/>
          <w:numId w:val="4"/>
        </w:numPr>
        <w:tabs>
          <w:tab w:val="left" w:pos="840"/>
        </w:tabs>
        <w:spacing w:line="440" w:lineRule="exact"/>
        <w:ind w:left="5" w:firstLine="415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与询价单进行比对，判断价格是否一致。</w:t>
      </w:r>
    </w:p>
    <w:p w:rsidR="00262E01" w:rsidRDefault="00AA224D">
      <w:pPr>
        <w:numPr>
          <w:ilvl w:val="0"/>
          <w:numId w:val="4"/>
        </w:numPr>
        <w:tabs>
          <w:tab w:val="left" w:pos="840"/>
        </w:tabs>
        <w:spacing w:line="440" w:lineRule="exact"/>
        <w:ind w:left="5" w:firstLine="415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不合格原材料是否进行了记录、向主管部门汇报，并按照《后勤保障部供货商管理办法》及时进行了处理。</w:t>
      </w:r>
    </w:p>
    <w:p w:rsidR="00262E01" w:rsidRDefault="00AA224D">
      <w:pPr>
        <w:numPr>
          <w:ilvl w:val="0"/>
          <w:numId w:val="4"/>
        </w:numPr>
        <w:tabs>
          <w:tab w:val="left" w:pos="840"/>
        </w:tabs>
        <w:spacing w:line="440" w:lineRule="exact"/>
        <w:ind w:left="5" w:firstLine="415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所有参与验收人员是否都已签字。</w:t>
      </w:r>
    </w:p>
    <w:p w:rsidR="00262E01" w:rsidRDefault="00AA224D">
      <w:pPr>
        <w:numPr>
          <w:ilvl w:val="0"/>
          <w:numId w:val="4"/>
        </w:numPr>
        <w:tabs>
          <w:tab w:val="left" w:pos="840"/>
        </w:tabs>
        <w:spacing w:line="440" w:lineRule="exact"/>
        <w:ind w:left="5" w:firstLine="415"/>
        <w:outlineLvl w:val="0"/>
        <w:rPr>
          <w:rFonts w:ascii="Times New Roman" w:eastAsia="黑体" w:hAnsi="黑体"/>
          <w:sz w:val="24"/>
        </w:rPr>
        <w:sectPr w:rsidR="00262E01">
          <w:footerReference w:type="default" r:id="rId12"/>
          <w:pgSz w:w="11906" w:h="16838"/>
          <w:pgMar w:top="1701" w:right="1418" w:bottom="1701" w:left="1418" w:header="1247" w:footer="1418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......</w:t>
      </w:r>
    </w:p>
    <w:p w:rsidR="00262E01" w:rsidRDefault="00AA224D">
      <w:pPr>
        <w:spacing w:line="440" w:lineRule="exact"/>
        <w:ind w:firstLineChars="200" w:firstLine="480"/>
        <w:outlineLvl w:val="0"/>
        <w:rPr>
          <w:rFonts w:ascii="Times New Roman" w:eastAsia="黑体" w:hAnsi="黑体"/>
          <w:sz w:val="24"/>
        </w:rPr>
      </w:pPr>
      <w:r>
        <w:rPr>
          <w:rFonts w:ascii="Times New Roman" w:eastAsia="黑体" w:hAnsi="黑体" w:hint="eastAsia"/>
          <w:sz w:val="24"/>
        </w:rPr>
        <w:lastRenderedPageBreak/>
        <w:t>（六）</w:t>
      </w:r>
      <w:r>
        <w:rPr>
          <w:rFonts w:ascii="Times New Roman" w:eastAsia="黑体" w:hAnsi="黑体"/>
          <w:sz w:val="24"/>
        </w:rPr>
        <w:t>流程风险</w:t>
      </w:r>
      <w:bookmarkEnd w:id="10"/>
      <w:bookmarkEnd w:id="11"/>
    </w:p>
    <w:tbl>
      <w:tblPr>
        <w:tblW w:w="13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992"/>
        <w:gridCol w:w="1559"/>
        <w:gridCol w:w="2126"/>
        <w:gridCol w:w="993"/>
        <w:gridCol w:w="1025"/>
      </w:tblGrid>
      <w:tr w:rsidR="00262E01">
        <w:trPr>
          <w:trHeight w:val="737"/>
        </w:trPr>
        <w:tc>
          <w:tcPr>
            <w:tcW w:w="67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编号</w:t>
            </w:r>
          </w:p>
        </w:tc>
        <w:tc>
          <w:tcPr>
            <w:tcW w:w="198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风险点</w:t>
            </w:r>
          </w:p>
        </w:tc>
        <w:tc>
          <w:tcPr>
            <w:tcW w:w="4111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风险点描述</w:t>
            </w:r>
          </w:p>
        </w:tc>
        <w:tc>
          <w:tcPr>
            <w:tcW w:w="992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风险</w:t>
            </w:r>
          </w:p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定级</w:t>
            </w:r>
          </w:p>
        </w:tc>
        <w:tc>
          <w:tcPr>
            <w:tcW w:w="1559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宋体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控制责</w:t>
            </w:r>
          </w:p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任岗位</w:t>
            </w:r>
          </w:p>
        </w:tc>
        <w:tc>
          <w:tcPr>
            <w:tcW w:w="2126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控制措施</w:t>
            </w:r>
          </w:p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（含控制文档）</w:t>
            </w:r>
          </w:p>
        </w:tc>
        <w:tc>
          <w:tcPr>
            <w:tcW w:w="993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宋体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控制</w:t>
            </w:r>
          </w:p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类型</w:t>
            </w:r>
          </w:p>
        </w:tc>
        <w:tc>
          <w:tcPr>
            <w:tcW w:w="102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宋体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控制</w:t>
            </w:r>
          </w:p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宋体" w:cs="Times New Roman"/>
                <w:bCs/>
              </w:rPr>
              <w:t>频率</w:t>
            </w:r>
          </w:p>
        </w:tc>
      </w:tr>
      <w:tr w:rsidR="00262E01">
        <w:trPr>
          <w:trHeight w:val="737"/>
        </w:trPr>
        <w:tc>
          <w:tcPr>
            <w:tcW w:w="67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262E01" w:rsidRDefault="00AA224D">
            <w:pPr>
              <w:pStyle w:val="1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宋体" w:cs="Times New Roman" w:hint="eastAsia"/>
              </w:rPr>
              <w:t>证件不全</w:t>
            </w:r>
          </w:p>
        </w:tc>
        <w:tc>
          <w:tcPr>
            <w:tcW w:w="4111" w:type="dxa"/>
            <w:vAlign w:val="center"/>
          </w:tcPr>
          <w:p w:rsidR="00262E01" w:rsidRDefault="00AA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hint="eastAsia"/>
              </w:rPr>
              <w:t>验收时索证或电子一票通不全</w:t>
            </w:r>
          </w:p>
        </w:tc>
        <w:tc>
          <w:tcPr>
            <w:tcW w:w="992" w:type="dxa"/>
            <w:vAlign w:val="center"/>
          </w:tcPr>
          <w:p w:rsidR="00262E01" w:rsidRDefault="00AA2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重要</w:t>
            </w:r>
          </w:p>
        </w:tc>
        <w:tc>
          <w:tcPr>
            <w:tcW w:w="1559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库管员</w:t>
            </w:r>
          </w:p>
        </w:tc>
        <w:tc>
          <w:tcPr>
            <w:tcW w:w="2126" w:type="dxa"/>
            <w:vAlign w:val="center"/>
          </w:tcPr>
          <w:p w:rsidR="00262E01" w:rsidRDefault="00AA224D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采供科定期检查核对</w:t>
            </w:r>
          </w:p>
          <w:p w:rsidR="00262E01" w:rsidRDefault="00AA224D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《后勤保障部原材料验收管理办法（试行）》</w:t>
            </w:r>
          </w:p>
        </w:tc>
        <w:tc>
          <w:tcPr>
            <w:tcW w:w="993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发现</w:t>
            </w:r>
          </w:p>
        </w:tc>
        <w:tc>
          <w:tcPr>
            <w:tcW w:w="102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每次</w:t>
            </w:r>
          </w:p>
        </w:tc>
      </w:tr>
      <w:tr w:rsidR="00262E01">
        <w:trPr>
          <w:trHeight w:val="737"/>
        </w:trPr>
        <w:tc>
          <w:tcPr>
            <w:tcW w:w="67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262E01" w:rsidRDefault="00AA224D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实物与票证不一致</w:t>
            </w:r>
          </w:p>
        </w:tc>
        <w:tc>
          <w:tcPr>
            <w:tcW w:w="4111" w:type="dxa"/>
            <w:vAlign w:val="center"/>
          </w:tcPr>
          <w:p w:rsidR="00262E01" w:rsidRDefault="00AA224D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提供的票据与</w:t>
            </w:r>
            <w:r>
              <w:rPr>
                <w:rFonts w:ascii="Times New Roman" w:hAnsi="宋体" w:hint="eastAsia"/>
              </w:rPr>
              <w:t>实物</w:t>
            </w:r>
            <w:r>
              <w:rPr>
                <w:rFonts w:ascii="Times New Roman" w:hAnsi="宋体"/>
              </w:rPr>
              <w:t>不符。</w:t>
            </w:r>
          </w:p>
        </w:tc>
        <w:tc>
          <w:tcPr>
            <w:tcW w:w="992" w:type="dxa"/>
            <w:vAlign w:val="center"/>
          </w:tcPr>
          <w:p w:rsidR="00262E01" w:rsidRDefault="00AA22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重要</w:t>
            </w:r>
          </w:p>
        </w:tc>
        <w:tc>
          <w:tcPr>
            <w:tcW w:w="1559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库管员</w:t>
            </w:r>
          </w:p>
        </w:tc>
        <w:tc>
          <w:tcPr>
            <w:tcW w:w="2126" w:type="dxa"/>
            <w:vAlign w:val="center"/>
          </w:tcPr>
          <w:p w:rsidR="00262E01" w:rsidRDefault="00AA224D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采供科定期检查核对验收单与票证</w:t>
            </w:r>
          </w:p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《后勤保障部原材料验收管理办法（试行）》</w:t>
            </w:r>
          </w:p>
        </w:tc>
        <w:tc>
          <w:tcPr>
            <w:tcW w:w="993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发现</w:t>
            </w:r>
          </w:p>
        </w:tc>
        <w:tc>
          <w:tcPr>
            <w:tcW w:w="102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每次</w:t>
            </w:r>
          </w:p>
        </w:tc>
      </w:tr>
      <w:tr w:rsidR="00262E01">
        <w:trPr>
          <w:trHeight w:val="737"/>
        </w:trPr>
        <w:tc>
          <w:tcPr>
            <w:tcW w:w="675" w:type="dxa"/>
            <w:vAlign w:val="center"/>
          </w:tcPr>
          <w:p w:rsidR="00262E01" w:rsidRDefault="00AA224D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62E01" w:rsidRDefault="00AA224D">
            <w:pPr>
              <w:pStyle w:val="1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......</w:t>
            </w:r>
          </w:p>
        </w:tc>
        <w:tc>
          <w:tcPr>
            <w:tcW w:w="4111" w:type="dxa"/>
            <w:vAlign w:val="center"/>
          </w:tcPr>
          <w:p w:rsidR="00262E01" w:rsidRDefault="00262E0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62E01" w:rsidRDefault="00262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62E01" w:rsidRDefault="00262E01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2E01" w:rsidRDefault="00262E01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62E01" w:rsidRDefault="00262E01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262E01" w:rsidRDefault="00262E01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E01" w:rsidRDefault="00262E01">
      <w:pPr>
        <w:spacing w:line="440" w:lineRule="exact"/>
        <w:ind w:firstLineChars="200" w:firstLine="480"/>
        <w:outlineLvl w:val="0"/>
        <w:rPr>
          <w:rFonts w:ascii="Times New Roman" w:eastAsia="黑体" w:hAnsi="黑体"/>
          <w:sz w:val="24"/>
        </w:rPr>
      </w:pPr>
      <w:bookmarkStart w:id="12" w:name="_Toc502397247"/>
      <w:bookmarkStart w:id="13" w:name="_Toc470610211"/>
    </w:p>
    <w:p w:rsidR="00262E01" w:rsidRDefault="00262E01">
      <w:pPr>
        <w:spacing w:line="440" w:lineRule="exact"/>
        <w:ind w:firstLineChars="200" w:firstLine="480"/>
        <w:outlineLvl w:val="0"/>
        <w:rPr>
          <w:rFonts w:ascii="Times New Roman" w:eastAsia="黑体" w:hAnsi="黑体"/>
          <w:sz w:val="24"/>
        </w:rPr>
        <w:sectPr w:rsidR="00262E01">
          <w:pgSz w:w="16838" w:h="11906" w:orient="landscape"/>
          <w:pgMar w:top="1417" w:right="1701" w:bottom="1417" w:left="1701" w:header="1247" w:footer="1417" w:gutter="0"/>
          <w:cols w:space="0"/>
          <w:docGrid w:type="lines" w:linePitch="312"/>
        </w:sectPr>
      </w:pPr>
    </w:p>
    <w:p w:rsidR="00262E01" w:rsidRDefault="00AA224D">
      <w:pPr>
        <w:spacing w:line="440" w:lineRule="exact"/>
        <w:ind w:firstLineChars="200" w:firstLine="480"/>
        <w:outlineLvl w:val="0"/>
        <w:rPr>
          <w:rFonts w:ascii="Times New Roman" w:eastAsia="黑体" w:hAnsi="黑体"/>
          <w:sz w:val="24"/>
        </w:rPr>
      </w:pPr>
      <w:r>
        <w:rPr>
          <w:rFonts w:ascii="Times New Roman" w:eastAsia="黑体" w:hAnsi="黑体" w:hint="eastAsia"/>
          <w:sz w:val="24"/>
        </w:rPr>
        <w:lastRenderedPageBreak/>
        <w:t>（七）</w:t>
      </w:r>
      <w:r>
        <w:rPr>
          <w:rFonts w:ascii="Times New Roman" w:eastAsia="黑体" w:hAnsi="黑体"/>
          <w:sz w:val="24"/>
        </w:rPr>
        <w:t>不相容职责</w:t>
      </w:r>
      <w:bookmarkEnd w:id="12"/>
      <w:bookmarkEnd w:id="13"/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1.</w:t>
      </w:r>
      <w:r>
        <w:rPr>
          <w:rFonts w:ascii="Times New Roman" w:hAnsi="Times New Roman" w:hint="eastAsia"/>
          <w:sz w:val="24"/>
        </w:rPr>
        <w:t>库管员与饮食验收人员</w:t>
      </w:r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．</w:t>
      </w:r>
      <w:r>
        <w:rPr>
          <w:rFonts w:ascii="Times New Roman" w:hAnsi="Times New Roman" w:hint="eastAsia"/>
          <w:sz w:val="24"/>
        </w:rPr>
        <w:t>......</w:t>
      </w:r>
    </w:p>
    <w:p w:rsidR="00262E01" w:rsidRDefault="00AA224D">
      <w:pPr>
        <w:spacing w:line="440" w:lineRule="exact"/>
        <w:ind w:firstLineChars="200" w:firstLine="480"/>
        <w:outlineLvl w:val="0"/>
        <w:rPr>
          <w:rFonts w:ascii="Times New Roman" w:eastAsia="黑体" w:hAnsi="黑体"/>
          <w:sz w:val="24"/>
        </w:rPr>
      </w:pPr>
      <w:bookmarkStart w:id="14" w:name="_Toc502397248"/>
      <w:bookmarkStart w:id="15" w:name="_Toc470610212"/>
      <w:r>
        <w:rPr>
          <w:rFonts w:ascii="Times New Roman" w:eastAsia="黑体" w:hAnsi="黑体" w:hint="eastAsia"/>
          <w:sz w:val="24"/>
        </w:rPr>
        <w:t>（八）</w:t>
      </w:r>
      <w:r>
        <w:rPr>
          <w:rFonts w:ascii="Times New Roman" w:eastAsia="黑体" w:hAnsi="黑体"/>
          <w:sz w:val="24"/>
        </w:rPr>
        <w:t>相关制度</w:t>
      </w:r>
      <w:bookmarkEnd w:id="14"/>
      <w:bookmarkEnd w:id="15"/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《后勤保障部原材料验收管理办法（试行）》</w:t>
      </w:r>
      <w:r>
        <w:rPr>
          <w:rFonts w:ascii="Times New Roman" w:hAnsi="Times New Roman"/>
          <w:sz w:val="24"/>
        </w:rPr>
        <w:t>〔后勤保障部发</w:t>
      </w:r>
      <w:r>
        <w:rPr>
          <w:rFonts w:ascii="Open Sans" w:eastAsia="Open Sans" w:hAnsi="Open Sans" w:cs="Open Sans"/>
          <w:color w:val="505050"/>
          <w:kern w:val="0"/>
          <w:szCs w:val="21"/>
          <w:lang w:bidi="ar"/>
        </w:rPr>
        <w:t>〔2019〕4号</w:t>
      </w:r>
      <w:r>
        <w:rPr>
          <w:rFonts w:ascii="Times New Roman" w:hAnsi="Times New Roman"/>
          <w:sz w:val="24"/>
        </w:rPr>
        <w:t>〕</w:t>
      </w:r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《后勤保障部物资供应商管理制度（试行）》〔后勤保障部发〔</w:t>
      </w:r>
      <w:r>
        <w:rPr>
          <w:rFonts w:ascii="Times New Roman" w:hAnsi="Times New Roman" w:hint="eastAsia"/>
          <w:sz w:val="24"/>
        </w:rPr>
        <w:t>2019</w:t>
      </w:r>
      <w:r>
        <w:rPr>
          <w:rFonts w:ascii="Times New Roman" w:hAnsi="Times New Roman" w:hint="eastAsia"/>
          <w:sz w:val="24"/>
        </w:rPr>
        <w:t>〕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号〕</w:t>
      </w:r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《后勤保障部库房管理制度（试行）》〔后勤保障部发〔</w:t>
      </w:r>
      <w:r>
        <w:rPr>
          <w:rFonts w:ascii="Times New Roman" w:hAnsi="Times New Roman" w:hint="eastAsia"/>
          <w:sz w:val="24"/>
        </w:rPr>
        <w:t>2019</w:t>
      </w:r>
      <w:r>
        <w:rPr>
          <w:rFonts w:ascii="Times New Roman" w:hAnsi="Times New Roman" w:hint="eastAsia"/>
          <w:sz w:val="24"/>
        </w:rPr>
        <w:t>〕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号〕</w:t>
      </w:r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《后勤保障部引进社会企业监督管理办法</w:t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sz w:val="24"/>
        </w:rPr>
        <w:t>试行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》〔</w:t>
      </w:r>
      <w:r>
        <w:rPr>
          <w:rFonts w:ascii="Times New Roman" w:hAnsi="Times New Roman"/>
          <w:sz w:val="24"/>
        </w:rPr>
        <w:t>后勤保障部发〔</w:t>
      </w: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>〕</w:t>
      </w:r>
      <w:r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>号</w:t>
      </w:r>
      <w:r>
        <w:rPr>
          <w:rFonts w:ascii="Times New Roman" w:hAnsi="Times New Roman" w:hint="eastAsia"/>
          <w:sz w:val="24"/>
        </w:rPr>
        <w:t>〕</w:t>
      </w:r>
    </w:p>
    <w:p w:rsidR="00262E01" w:rsidRDefault="00AA224D">
      <w:pPr>
        <w:spacing w:line="50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......</w:t>
      </w:r>
    </w:p>
    <w:p w:rsidR="00262E01" w:rsidRDefault="00AA224D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五、具体工作要求</w:t>
      </w:r>
    </w:p>
    <w:p w:rsidR="00262E01" w:rsidRDefault="00AA224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中心及科室认真按照相关文件的要求，对本部门的业务流程进行梳理，识别不同级别的风险，对本部门的现有制度进行查漏补缺。配合综合办公室完成内部控制建设手册的编制。如有对内部控制相关文件的疑问，可向计划财务科咨询。</w:t>
      </w:r>
    </w:p>
    <w:p w:rsidR="00262E01" w:rsidRDefault="00AA224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定期举行内部控制建设小组会议，汇报各部门的进度，部门之间相互评价内部控制相关工作，并给予积极的意见或建议。</w:t>
      </w:r>
    </w:p>
    <w:p w:rsidR="00262E01" w:rsidRDefault="00AA224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请各部门高度重视内部控制建设的相关工作，按照时间结点完成相应任务。</w:t>
      </w:r>
    </w:p>
    <w:p w:rsidR="00262E01" w:rsidRDefault="00AA224D">
      <w:pPr>
        <w:ind w:firstLineChars="2028" w:firstLine="56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后勤保障</w:t>
      </w:r>
      <w:bookmarkStart w:id="16" w:name="_GoBack"/>
      <w:bookmarkEnd w:id="16"/>
      <w:r>
        <w:rPr>
          <w:rFonts w:ascii="仿宋" w:eastAsia="仿宋" w:hAnsi="仿宋" w:hint="eastAsia"/>
          <w:sz w:val="28"/>
          <w:szCs w:val="28"/>
        </w:rPr>
        <w:t>部</w:t>
      </w:r>
    </w:p>
    <w:p w:rsidR="00262E01" w:rsidRDefault="00AA224D">
      <w:pPr>
        <w:ind w:firstLineChars="1878" w:firstLine="525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B419D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B419D9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4日</w:t>
      </w:r>
    </w:p>
    <w:p w:rsidR="00262E01" w:rsidRDefault="00AA224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附件：1.《全面推进行政事业单位内部控制建设的指导意见》（财会[2015]24号）</w:t>
      </w:r>
    </w:p>
    <w:p w:rsidR="00262E01" w:rsidRDefault="00AA224D">
      <w:pPr>
        <w:ind w:firstLineChars="304" w:firstLine="638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2.《教育部直属高校经济活动内部控制指南（试行）》（教财厅[2016]2号）</w:t>
      </w:r>
    </w:p>
    <w:p w:rsidR="00262E01" w:rsidRDefault="00AA224D">
      <w:pPr>
        <w:ind w:firstLineChars="304" w:firstLine="638"/>
        <w:rPr>
          <w:szCs w:val="21"/>
        </w:rPr>
      </w:pPr>
      <w:r>
        <w:rPr>
          <w:rFonts w:ascii="仿宋" w:eastAsia="仿宋" w:hAnsi="仿宋" w:hint="eastAsia"/>
          <w:szCs w:val="21"/>
        </w:rPr>
        <w:t>3.《行政事业单位内部控制规范（试行）》（财会[2012]21号）</w:t>
      </w:r>
    </w:p>
    <w:sectPr w:rsidR="00262E01">
      <w:pgSz w:w="11906" w:h="16838"/>
      <w:pgMar w:top="1701" w:right="1417" w:bottom="1701" w:left="1417" w:header="1247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E9" w:rsidRDefault="00A940E9">
      <w:r>
        <w:separator/>
      </w:r>
    </w:p>
  </w:endnote>
  <w:endnote w:type="continuationSeparator" w:id="0">
    <w:p w:rsidR="00A940E9" w:rsidRDefault="00A9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01" w:rsidRDefault="00AA22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E01" w:rsidRDefault="00AA224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419D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dYgIAAAwFAAAOAAAAZHJzL2Uyb0RvYy54bWysVE1uEzEU3iNxB8t7OmlRqy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HMCYse3X/7ev/95/2PLww8ANT5OIPejYdm6l9Rj0aP/AhmrrvXweYvKmKQA+rtHl7V&#10;Jyaz0fRoOp1AJCEbf+C/ejD3IabXiizLRM0D+ldgFZvLmAbVUSVHc3TRGlN6aBzran7y8nh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fOSnd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62E01" w:rsidRDefault="00AA224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419D9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E9" w:rsidRDefault="00A940E9">
      <w:r>
        <w:separator/>
      </w:r>
    </w:p>
  </w:footnote>
  <w:footnote w:type="continuationSeparator" w:id="0">
    <w:p w:rsidR="00A940E9" w:rsidRDefault="00A9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C46E18"/>
    <w:multiLevelType w:val="singleLevel"/>
    <w:tmpl w:val="9FC46E1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78111A2"/>
    <w:multiLevelType w:val="singleLevel"/>
    <w:tmpl w:val="A78111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ECAEFDF"/>
    <w:multiLevelType w:val="singleLevel"/>
    <w:tmpl w:val="2ECAEFD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3B60C307"/>
    <w:multiLevelType w:val="singleLevel"/>
    <w:tmpl w:val="3B60C30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62E01"/>
    <w:rsid w:val="00697F71"/>
    <w:rsid w:val="00A940E9"/>
    <w:rsid w:val="00AA224D"/>
    <w:rsid w:val="00B419D9"/>
    <w:rsid w:val="00FA57B2"/>
    <w:rsid w:val="012515D3"/>
    <w:rsid w:val="03C93279"/>
    <w:rsid w:val="0B0B0AE2"/>
    <w:rsid w:val="10D737F9"/>
    <w:rsid w:val="130906F4"/>
    <w:rsid w:val="163E79C8"/>
    <w:rsid w:val="1EF14FB7"/>
    <w:rsid w:val="204F61D8"/>
    <w:rsid w:val="217B1E02"/>
    <w:rsid w:val="237B0B78"/>
    <w:rsid w:val="248D0AB9"/>
    <w:rsid w:val="24C54E19"/>
    <w:rsid w:val="2B097B5E"/>
    <w:rsid w:val="314138AD"/>
    <w:rsid w:val="37B7237F"/>
    <w:rsid w:val="39FA55A0"/>
    <w:rsid w:val="3BD77FD8"/>
    <w:rsid w:val="42310080"/>
    <w:rsid w:val="4E922850"/>
    <w:rsid w:val="51E624D9"/>
    <w:rsid w:val="60B27CB3"/>
    <w:rsid w:val="6B243E30"/>
    <w:rsid w:val="77F909B5"/>
    <w:rsid w:val="7B6D668E"/>
    <w:rsid w:val="7D5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310DAE6"/>
  <w15:docId w15:val="{02EE4482-A433-47D4-B521-5F584FC8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A4A4A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4A4A4A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  <w:shd w:val="clear" w:color="auto" w:fill="5CB85C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character" w:customStyle="1" w:styleId="dot">
    <w:name w:val="dot"/>
    <w:basedOn w:val="a0"/>
    <w:qFormat/>
    <w:rPr>
      <w:color w:val="3B3B3B"/>
      <w:sz w:val="21"/>
      <w:szCs w:val="21"/>
    </w:rPr>
  </w:style>
  <w:style w:type="character" w:customStyle="1" w:styleId="countto">
    <w:name w:val="countto"/>
    <w:basedOn w:val="a0"/>
    <w:qFormat/>
    <w:rPr>
      <w:sz w:val="37"/>
      <w:szCs w:val="37"/>
    </w:rPr>
  </w:style>
  <w:style w:type="character" w:customStyle="1" w:styleId="countto1">
    <w:name w:val="countto1"/>
    <w:basedOn w:val="a0"/>
    <w:qFormat/>
    <w:rPr>
      <w:sz w:val="60"/>
      <w:szCs w:val="60"/>
    </w:rPr>
  </w:style>
  <w:style w:type="character" w:customStyle="1" w:styleId="countto2">
    <w:name w:val="countto2"/>
    <w:basedOn w:val="a0"/>
    <w:qFormat/>
    <w:rPr>
      <w:sz w:val="69"/>
      <w:szCs w:val="69"/>
    </w:rPr>
  </w:style>
  <w:style w:type="character" w:customStyle="1" w:styleId="owl-numbers">
    <w:name w:val="owl-numbers"/>
    <w:basedOn w:val="a0"/>
    <w:qFormat/>
    <w:rPr>
      <w:color w:val="FFFFFF"/>
      <w:sz w:val="18"/>
      <w:szCs w:val="18"/>
    </w:rPr>
  </w:style>
  <w:style w:type="character" w:customStyle="1" w:styleId="loader">
    <w:name w:val="loader"/>
    <w:basedOn w:val="a0"/>
    <w:qFormat/>
    <w:rPr>
      <w:sz w:val="15"/>
      <w:szCs w:val="15"/>
    </w:rPr>
  </w:style>
  <w:style w:type="character" w:customStyle="1" w:styleId="badge65">
    <w:name w:val="badge65"/>
    <w:basedOn w:val="a0"/>
    <w:qFormat/>
  </w:style>
  <w:style w:type="character" w:customStyle="1" w:styleId="user-avatar">
    <w:name w:val="user-avatar"/>
    <w:basedOn w:val="a0"/>
    <w:qFormat/>
    <w:rPr>
      <w:shd w:val="clear" w:color="auto" w:fill="EEEEEE"/>
    </w:rPr>
  </w:style>
  <w:style w:type="character" w:customStyle="1" w:styleId="badge66">
    <w:name w:val="badge66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周周</dc:creator>
  <cp:lastModifiedBy>张 国龙</cp:lastModifiedBy>
  <cp:revision>3</cp:revision>
  <cp:lastPrinted>2019-02-25T07:51:00Z</cp:lastPrinted>
  <dcterms:created xsi:type="dcterms:W3CDTF">2019-01-18T09:12:00Z</dcterms:created>
  <dcterms:modified xsi:type="dcterms:W3CDTF">2019-03-14T03:35:00Z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