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后勤保障部库房管理制度（试行）</w:t>
      </w:r>
    </w:p>
    <w:p>
      <w:pPr>
        <w:spacing w:line="560" w:lineRule="exact"/>
        <w:rPr>
          <w:rFonts w:ascii="方正小标宋_GBK" w:hAnsi="方正小标宋_GBK" w:eastAsia="仿宋_GB2312" w:cs="方正小标宋_GBK"/>
          <w:sz w:val="44"/>
          <w:szCs w:val="44"/>
        </w:rPr>
      </w:pPr>
    </w:p>
    <w:p>
      <w:pPr>
        <w:spacing w:line="540" w:lineRule="exact"/>
        <w:ind w:firstLine="720" w:firstLineChars="2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为进一步规范管理，保证物料安全，结合后勤保障部实际，制定本制度。</w:t>
      </w:r>
    </w:p>
    <w:p>
      <w:pPr>
        <w:numPr>
          <w:ilvl w:val="0"/>
          <w:numId w:val="1"/>
        </w:numPr>
        <w:spacing w:line="540" w:lineRule="exact"/>
        <w:ind w:firstLine="720" w:firstLineChars="200"/>
        <w:rPr>
          <w:sz w:val="32"/>
          <w:szCs w:val="32"/>
        </w:rPr>
      </w:pPr>
      <w:r>
        <w:rPr>
          <w:rFonts w:hint="eastAsia" w:ascii="仿宋" w:hAnsi="仿宋" w:eastAsia="仿宋" w:cs="仿宋"/>
          <w:sz w:val="36"/>
          <w:szCs w:val="36"/>
        </w:rPr>
        <w:t>库管人员职责</w:t>
      </w:r>
    </w:p>
    <w:p>
      <w:pPr>
        <w:numPr>
          <w:ilvl w:val="0"/>
          <w:numId w:val="2"/>
        </w:numPr>
        <w:spacing w:line="540" w:lineRule="exact"/>
        <w:ind w:firstLine="720" w:firstLineChars="2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遵纪守法，廉洁自律。</w:t>
      </w:r>
    </w:p>
    <w:p>
      <w:pPr>
        <w:spacing w:line="540" w:lineRule="exact"/>
        <w:ind w:firstLine="720" w:firstLineChars="2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（二）负责库房日常管理及物资入库、出库、点收、发放工作；定期进行盘查，填报库存报表。</w:t>
      </w:r>
    </w:p>
    <w:p>
      <w:pPr>
        <w:spacing w:line="540" w:lineRule="exact"/>
        <w:ind w:firstLine="720" w:firstLineChars="2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（三）建立健全各类帐卡及报表，做到“帐帐相符，帐卡相符，帐物相符”。</w:t>
      </w:r>
    </w:p>
    <w:p>
      <w:pPr>
        <w:spacing w:line="540" w:lineRule="exact"/>
        <w:ind w:firstLine="720" w:firstLineChars="2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（四）每日巡查和定期检查记录完整，物料卡标识清楚，凭据、供货商随货资料按要求归类装订成册。</w:t>
      </w:r>
    </w:p>
    <w:p>
      <w:pPr>
        <w:spacing w:line="540" w:lineRule="exact"/>
        <w:ind w:firstLine="720" w:firstLineChars="2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（五）物料归类和存放合理</w:t>
      </w:r>
    </w:p>
    <w:p>
      <w:pPr>
        <w:spacing w:line="540" w:lineRule="exact"/>
        <w:ind w:firstLine="720" w:firstLineChars="2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（六）废旧物料的整理、回收和处置。</w:t>
      </w:r>
    </w:p>
    <w:p>
      <w:pPr>
        <w:spacing w:line="540" w:lineRule="exact"/>
        <w:ind w:firstLine="720" w:firstLineChars="2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（七）安全隐患的自查、处理和上报。</w:t>
      </w:r>
    </w:p>
    <w:p>
      <w:pPr>
        <w:spacing w:line="540" w:lineRule="exact"/>
        <w:ind w:firstLine="720" w:firstLineChars="2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二、入库管理</w:t>
      </w:r>
    </w:p>
    <w:p>
      <w:pPr>
        <w:spacing w:line="540" w:lineRule="exact"/>
        <w:ind w:firstLine="720" w:firstLineChars="2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（一）验收前校准验收衡器的精确度。</w:t>
      </w:r>
    </w:p>
    <w:p>
      <w:pPr>
        <w:spacing w:line="540" w:lineRule="exact"/>
        <w:ind w:firstLine="720" w:firstLineChars="2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（二）“三方验收”。物料到货及时验收，由库房管理人员、使用单位相关责任人（根据需要安排第三方监督）共同验收，验收合格的，填写入库验收单入库，严格把关。</w:t>
      </w:r>
    </w:p>
    <w:p>
      <w:pPr>
        <w:spacing w:line="540" w:lineRule="exact"/>
        <w:ind w:firstLine="720" w:firstLineChars="2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（三）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“</w:t>
      </w:r>
      <w:r>
        <w:rPr>
          <w:rFonts w:hint="eastAsia" w:ascii="仿宋" w:hAnsi="仿宋" w:eastAsia="仿宋" w:cs="仿宋"/>
          <w:sz w:val="36"/>
          <w:szCs w:val="36"/>
        </w:rPr>
        <w:t>票据验收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”</w:t>
      </w:r>
      <w:r>
        <w:rPr>
          <w:rFonts w:hint="eastAsia" w:ascii="仿宋" w:hAnsi="仿宋" w:eastAsia="仿宋" w:cs="仿宋"/>
          <w:sz w:val="36"/>
          <w:szCs w:val="36"/>
        </w:rPr>
        <w:t>。验收时检查供货商提供的电子一票通、相关检疫、检测报告等随货票据是否齐全。如票据未提供、不相符或发现物料有质量问题，应拒绝验收入库，并第一时间通知材料采供科及使用单位，依据合同及商家相关承诺书进行处理。</w:t>
      </w:r>
    </w:p>
    <w:p>
      <w:pPr>
        <w:spacing w:line="540" w:lineRule="exact"/>
        <w:ind w:firstLine="360" w:firstLineChars="1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（四）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“物料登记”。</w:t>
      </w:r>
      <w:r>
        <w:rPr>
          <w:rFonts w:hint="eastAsia" w:ascii="仿宋" w:hAnsi="仿宋" w:eastAsia="仿宋" w:cs="仿宋"/>
          <w:sz w:val="36"/>
          <w:szCs w:val="36"/>
        </w:rPr>
        <w:t>验收合格的物料，由库房管理人员填写物料入库单，登记物料台账；对不合格物料及时报采供科，依据验收结果办理退货、索赔等事宜；对延迟交货的，由材料采供科按照合同约定索赔。</w:t>
      </w:r>
    </w:p>
    <w:p>
      <w:pPr>
        <w:spacing w:line="540" w:lineRule="exact"/>
        <w:ind w:firstLine="360" w:firstLineChars="1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（五）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“专业检测”。</w:t>
      </w:r>
      <w:r>
        <w:rPr>
          <w:rFonts w:hint="eastAsia" w:ascii="仿宋" w:hAnsi="仿宋" w:eastAsia="仿宋" w:cs="仿宋"/>
          <w:sz w:val="36"/>
          <w:szCs w:val="36"/>
        </w:rPr>
        <w:t>验收时涉及技术性强的物料，应进行专业测试，必要时可委托具有检验资质的机构或聘请专家协助验收。</w:t>
      </w:r>
    </w:p>
    <w:p>
      <w:pPr>
        <w:spacing w:line="540" w:lineRule="exact"/>
        <w:ind w:firstLine="360" w:firstLineChars="1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（六）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“</w:t>
      </w:r>
      <w:r>
        <w:rPr>
          <w:rFonts w:hint="eastAsia" w:ascii="仿宋" w:hAnsi="仿宋" w:eastAsia="仿宋" w:cs="仿宋"/>
          <w:sz w:val="36"/>
          <w:szCs w:val="36"/>
        </w:rPr>
        <w:t>物料报销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”。</w:t>
      </w:r>
      <w:r>
        <w:rPr>
          <w:rFonts w:hint="eastAsia" w:ascii="仿宋" w:hAnsi="仿宋" w:eastAsia="仿宋" w:cs="仿宋"/>
          <w:sz w:val="36"/>
          <w:szCs w:val="36"/>
        </w:rPr>
        <w:t>必须具有税务部门印制的正式发票方可办理财务结算。对一些农民自产自销的农、林、副产品，如确实没有发票的，应填制自购申请单，经批准后按程序验收入库。</w:t>
      </w:r>
    </w:p>
    <w:p>
      <w:pPr>
        <w:spacing w:line="540" w:lineRule="exact"/>
        <w:ind w:firstLine="720" w:firstLineChars="2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三、出库管理</w:t>
      </w:r>
    </w:p>
    <w:p>
      <w:pPr>
        <w:spacing w:line="540" w:lineRule="exact"/>
        <w:ind w:firstLine="360" w:firstLineChars="1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（一）库房管理人员应严格按照领料单出货。办理出库时要逐项填写并审核出库单的品名、数量，领料单必须有领料人、相关负责人及库管签字。库房管理人员根据每天的领料单编制出库单。</w:t>
      </w:r>
    </w:p>
    <w:p>
      <w:pPr>
        <w:spacing w:line="540" w:lineRule="exact"/>
        <w:ind w:firstLine="360" w:firstLineChars="1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（二）严格遵守“先进先出”原则，减少物料浪费。</w:t>
      </w:r>
    </w:p>
    <w:p>
      <w:pPr>
        <w:tabs>
          <w:tab w:val="left" w:pos="0"/>
        </w:tabs>
        <w:spacing w:line="540" w:lineRule="exact"/>
        <w:ind w:firstLine="360" w:firstLineChars="1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（三）对不可分割或不便分割的物料，应及时敦促领料人对余料办理退料手续。服务经营和工程施工领用物料有剩余时，及时办理退料手续，不得挪用或截留。</w:t>
      </w:r>
    </w:p>
    <w:p>
      <w:pPr>
        <w:tabs>
          <w:tab w:val="left" w:pos="0"/>
        </w:tabs>
        <w:spacing w:line="540" w:lineRule="exact"/>
        <w:ind w:firstLine="360" w:firstLineChars="1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（四）</w:t>
      </w: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</w:rPr>
        <w:t>退料时库管应逐项填写领料单，注明领用部门和工程项目、具体用途、品名、规格、退回数量等，并用红字填写数量、金额，所退回的物料库房验收后作为库房增加物料的依据，计划财务科据以冲减经营费用或工程成本。</w:t>
      </w:r>
    </w:p>
    <w:p>
      <w:pPr>
        <w:tabs>
          <w:tab w:val="left" w:pos="0"/>
        </w:tabs>
        <w:spacing w:line="540" w:lineRule="exact"/>
        <w:ind w:firstLine="360" w:firstLineChars="1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（五）每月分类汇总领用物料，填制当月物料消耗汇总表和物料汇总收支报表，及时报送材料采供科。</w:t>
      </w:r>
    </w:p>
    <w:p>
      <w:pPr>
        <w:tabs>
          <w:tab w:val="left" w:pos="0"/>
        </w:tabs>
        <w:spacing w:line="540" w:lineRule="exact"/>
        <w:ind w:firstLine="360" w:firstLineChars="1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（六）物料在不同库房之间流动时，应及时办理出入库手续。</w:t>
      </w:r>
    </w:p>
    <w:p>
      <w:pPr>
        <w:tabs>
          <w:tab w:val="left" w:pos="0"/>
        </w:tabs>
        <w:spacing w:line="540" w:lineRule="exact"/>
        <w:ind w:firstLine="360" w:firstLineChars="1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（七）应合理出料，防止出现库外库。</w:t>
      </w:r>
    </w:p>
    <w:p>
      <w:pPr>
        <w:spacing w:line="540" w:lineRule="exact"/>
        <w:ind w:firstLine="720" w:firstLineChars="2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四、物料储存保管</w:t>
      </w:r>
    </w:p>
    <w:p>
      <w:pPr>
        <w:numPr>
          <w:ilvl w:val="255"/>
          <w:numId w:val="0"/>
        </w:numPr>
        <w:spacing w:line="540" w:lineRule="exact"/>
        <w:ind w:firstLine="360" w:firstLineChars="1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（一）物料的储存保管，原则上应以属性、特点和用途规划设置库房空间。</w:t>
      </w:r>
    </w:p>
    <w:p>
      <w:pPr>
        <w:numPr>
          <w:ilvl w:val="255"/>
          <w:numId w:val="0"/>
        </w:numPr>
        <w:spacing w:line="540" w:lineRule="exact"/>
        <w:ind w:firstLine="360" w:firstLineChars="1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（二）库房应保持干燥、整洁、通风，防火、防潮、防盗、防病虫害、防变质，对储存物料的性能、危险性和灭火方法要熟知。易燃物品应留出防火距离，设有警示牌和灭火器。</w:t>
      </w:r>
    </w:p>
    <w:p>
      <w:pPr>
        <w:numPr>
          <w:ilvl w:val="255"/>
          <w:numId w:val="0"/>
        </w:numPr>
        <w:spacing w:line="540" w:lineRule="exact"/>
        <w:ind w:firstLine="360" w:firstLineChars="1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（三）储存物料的“标识卡”应注明名称、型号、数量、入库时间、质保时间。</w:t>
      </w:r>
    </w:p>
    <w:p>
      <w:pPr>
        <w:numPr>
          <w:ilvl w:val="255"/>
          <w:numId w:val="0"/>
        </w:numPr>
        <w:spacing w:line="540" w:lineRule="exact"/>
        <w:ind w:firstLine="360" w:firstLineChars="1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（四）库存物料在装卸、搬运过程中要轻拿轻放，保证完好无损。</w:t>
      </w:r>
    </w:p>
    <w:p>
      <w:pPr>
        <w:numPr>
          <w:ilvl w:val="255"/>
          <w:numId w:val="0"/>
        </w:numPr>
        <w:spacing w:line="540" w:lineRule="exact"/>
        <w:ind w:firstLine="360" w:firstLineChars="1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（五）对库存物料及时盘点，发现过期、毁损、变质迹象的，应及时报告材料采供科及使用单位，同时查找原因，出具情况报告书，经部长办公会议通过后进行相应处理。</w:t>
      </w:r>
    </w:p>
    <w:p>
      <w:pPr>
        <w:numPr>
          <w:ilvl w:val="255"/>
          <w:numId w:val="0"/>
        </w:numPr>
        <w:spacing w:line="540" w:lineRule="exact"/>
        <w:ind w:firstLine="360" w:firstLineChars="1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（六）有毒、易燃、易爆物品和易制毒品或其他特殊物资需单独储存，专库、专人管理，管理按照实验室管理执行。</w:t>
      </w:r>
    </w:p>
    <w:p>
      <w:pPr>
        <w:spacing w:line="540" w:lineRule="exact"/>
        <w:ind w:firstLine="720" w:firstLineChars="2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五、库存控制</w:t>
      </w:r>
    </w:p>
    <w:p>
      <w:pPr>
        <w:numPr>
          <w:ilvl w:val="255"/>
          <w:numId w:val="0"/>
        </w:numPr>
        <w:spacing w:line="540" w:lineRule="exact"/>
        <w:ind w:firstLine="360" w:firstLineChars="1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（一）保证经营需求，合理储备。大宗物资需有1周储备。</w:t>
      </w:r>
    </w:p>
    <w:p>
      <w:pPr>
        <w:numPr>
          <w:ilvl w:val="255"/>
          <w:numId w:val="0"/>
        </w:numPr>
        <w:spacing w:line="540" w:lineRule="exact"/>
        <w:ind w:firstLine="360" w:firstLineChars="1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（二）及时掌握和反映物料使用情况，及时向使用单位和材料采供科反馈库存信息。</w:t>
      </w:r>
    </w:p>
    <w:p>
      <w:pPr>
        <w:pStyle w:val="27"/>
        <w:numPr>
          <w:ilvl w:val="0"/>
          <w:numId w:val="3"/>
        </w:numPr>
        <w:shd w:val="clear" w:color="auto" w:fill="FFFFFF"/>
        <w:spacing w:line="540" w:lineRule="exact"/>
        <w:ind w:firstLine="720" w:firstLineChars="200"/>
        <w:jc w:val="both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盘点</w:t>
      </w:r>
    </w:p>
    <w:p>
      <w:pPr>
        <w:pStyle w:val="27"/>
        <w:numPr>
          <w:ilvl w:val="255"/>
          <w:numId w:val="0"/>
        </w:numPr>
        <w:shd w:val="clear" w:color="auto" w:fill="FFFFFF"/>
        <w:spacing w:line="540" w:lineRule="exact"/>
        <w:ind w:firstLine="720" w:firstLineChars="200"/>
        <w:jc w:val="both"/>
        <w:rPr>
          <w:rFonts w:ascii="仿宋" w:hAnsi="仿宋" w:eastAsia="仿宋" w:cs="仿宋"/>
          <w:bCs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（一）物料清查实行永续盘存制，定期盘点和随机盘点相结合。</w:t>
      </w:r>
    </w:p>
    <w:p>
      <w:pPr>
        <w:pStyle w:val="27"/>
        <w:numPr>
          <w:ilvl w:val="255"/>
          <w:numId w:val="0"/>
        </w:numPr>
        <w:shd w:val="clear" w:color="auto" w:fill="FFFFFF"/>
        <w:spacing w:line="540" w:lineRule="exact"/>
        <w:ind w:firstLine="720" w:firstLineChars="200"/>
        <w:jc w:val="both"/>
        <w:rPr>
          <w:rFonts w:ascii="仿宋" w:hAnsi="仿宋" w:eastAsia="仿宋" w:cs="仿宋"/>
          <w:bCs/>
          <w:sz w:val="36"/>
          <w:szCs w:val="36"/>
        </w:rPr>
      </w:pPr>
      <w:r>
        <w:rPr>
          <w:rFonts w:hint="eastAsia" w:ascii="仿宋" w:hAnsi="仿宋" w:eastAsia="仿宋" w:cs="仿宋"/>
          <w:bCs/>
          <w:sz w:val="36"/>
          <w:szCs w:val="36"/>
        </w:rPr>
        <w:t>（二）库管每月</w:t>
      </w:r>
      <w:r>
        <w:rPr>
          <w:rFonts w:ascii="仿宋" w:hAnsi="仿宋" w:eastAsia="仿宋" w:cs="仿宋"/>
          <w:bCs/>
          <w:sz w:val="36"/>
          <w:szCs w:val="36"/>
        </w:rPr>
        <w:t>20</w:t>
      </w:r>
      <w:r>
        <w:rPr>
          <w:rFonts w:hint="eastAsia" w:ascii="仿宋" w:hAnsi="仿宋" w:eastAsia="仿宋" w:cs="仿宋"/>
          <w:bCs/>
          <w:sz w:val="36"/>
          <w:szCs w:val="36"/>
        </w:rPr>
        <w:t>日对实际库存进行一次全面盘点，材料采供科抽取样品（不少于</w:t>
      </w:r>
      <w:r>
        <w:rPr>
          <w:rFonts w:ascii="仿宋" w:hAnsi="仿宋" w:eastAsia="仿宋" w:cs="仿宋"/>
          <w:bCs/>
          <w:sz w:val="36"/>
          <w:szCs w:val="36"/>
        </w:rPr>
        <w:t>10</w:t>
      </w:r>
      <w:r>
        <w:rPr>
          <w:rFonts w:hint="eastAsia" w:ascii="仿宋" w:hAnsi="仿宋" w:eastAsia="仿宋" w:cs="仿宋"/>
          <w:bCs/>
          <w:sz w:val="36"/>
          <w:szCs w:val="36"/>
        </w:rPr>
        <w:t>种）进行抽盘，当日的领料工作须在前一日完成。盘点应核实物料实际库存数与账面数是否相符，并出具物料盘点表，经库房主管审核后报材料采供科。</w:t>
      </w:r>
    </w:p>
    <w:p>
      <w:pPr>
        <w:pStyle w:val="27"/>
        <w:numPr>
          <w:ilvl w:val="255"/>
          <w:numId w:val="0"/>
        </w:numPr>
        <w:shd w:val="clear" w:color="auto" w:fill="FFFFFF"/>
        <w:spacing w:line="540" w:lineRule="exact"/>
        <w:ind w:firstLine="720" w:firstLineChars="200"/>
        <w:jc w:val="both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（三）盘点中发现数量短缺时（</w:t>
      </w:r>
      <w:r>
        <w:rPr>
          <w:rFonts w:hint="eastAsia" w:ascii="仿宋" w:hAnsi="仿宋" w:eastAsia="仿宋" w:cs="仿宋"/>
          <w:bCs/>
          <w:sz w:val="36"/>
          <w:szCs w:val="36"/>
        </w:rPr>
        <w:t>正常消耗除外</w:t>
      </w:r>
      <w:r>
        <w:rPr>
          <w:rFonts w:hint="eastAsia" w:ascii="仿宋" w:hAnsi="仿宋" w:eastAsia="仿宋" w:cs="仿宋"/>
          <w:sz w:val="36"/>
          <w:szCs w:val="36"/>
        </w:rPr>
        <w:t>），应及时追查原因，由相关人员写出书面报告，经主管领导批准后按有关规定处理，不得随意核销。</w:t>
      </w:r>
    </w:p>
    <w:p>
      <w:pPr>
        <w:pStyle w:val="27"/>
        <w:numPr>
          <w:ilvl w:val="255"/>
          <w:numId w:val="0"/>
        </w:numPr>
        <w:shd w:val="clear" w:color="auto" w:fill="FFFFFF"/>
        <w:spacing w:line="540" w:lineRule="exact"/>
        <w:ind w:firstLine="720" w:firstLineChars="200"/>
        <w:jc w:val="both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四）库房管理人员对差异情况和原因及时进行分析，保障部纪委、质量监督科及计划财务科可根据工作需要抽查物料盘点工作，由材料采供科配合全面清点库存物料，检查各类物资的实际库存数与账面数是否相符，发现问题查找原因并提出处理意见。</w:t>
      </w:r>
    </w:p>
    <w:p>
      <w:pPr>
        <w:spacing w:line="540" w:lineRule="exact"/>
        <w:ind w:firstLine="720" w:firstLineChars="2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七、安全要求</w:t>
      </w:r>
    </w:p>
    <w:p>
      <w:pPr>
        <w:spacing w:line="540" w:lineRule="exact"/>
        <w:ind w:firstLine="720" w:firstLineChars="2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（一）检查库房及库存物资的防火、防盗、防损坏、防变质等安全措施和卫生措施，保证库存物资完好无损，存放合理。</w:t>
      </w:r>
    </w:p>
    <w:p>
      <w:pPr>
        <w:numPr>
          <w:ilvl w:val="255"/>
          <w:numId w:val="0"/>
        </w:numPr>
        <w:spacing w:line="540" w:lineRule="exact"/>
        <w:ind w:firstLine="720" w:firstLineChars="2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二）做到“四检查”：上班必须检查库房门锁有无异常，物品有无丢失。下班检查是否已锁门、拉闸断电以及是否存在其他不安全隐患。经常检查库房，库房保持通风。检查易燃、易爆物品或其他特殊物资是否单独存储、妥善保管。</w:t>
      </w:r>
    </w:p>
    <w:p>
      <w:pPr>
        <w:spacing w:line="540" w:lineRule="exact"/>
        <w:ind w:firstLine="720" w:firstLineChars="2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三）遵守“十严禁”：严禁在库房内吸烟、动用明火；严禁饮酒后上岗；严禁无关人员进出库房；严禁涂改账目，抽换帐纸；严禁在库房内存放私人物品；严禁在库房内存放已出库物品；严禁私领，私分库房物品；严禁在库房谈笑，打闹；严禁在库房内随意动用库房的消防器材；严禁在库房内私拉乱接电源，电线。</w:t>
      </w:r>
    </w:p>
    <w:p>
      <w:pPr>
        <w:spacing w:line="540" w:lineRule="exact"/>
        <w:ind w:firstLine="720" w:firstLineChars="2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八、其他要求</w:t>
      </w:r>
    </w:p>
    <w:p>
      <w:pPr>
        <w:spacing w:line="540" w:lineRule="exact"/>
        <w:ind w:firstLine="720" w:firstLineChars="2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库管人员调动工作时，办理书面交接手续，未做完的事宜及有关凭单，要列出清单，写明情况。</w:t>
      </w:r>
    </w:p>
    <w:p>
      <w:pPr>
        <w:spacing w:line="540" w:lineRule="exact"/>
        <w:ind w:firstLine="720" w:firstLineChars="2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九、库管人员考核及奖罚</w:t>
      </w:r>
      <w:r>
        <w:rPr>
          <w:rFonts w:ascii="仿宋" w:hAnsi="仿宋" w:eastAsia="仿宋" w:cs="仿宋"/>
          <w:sz w:val="36"/>
          <w:szCs w:val="36"/>
        </w:rPr>
        <w:t xml:space="preserve"> </w:t>
      </w:r>
    </w:p>
    <w:p>
      <w:pPr>
        <w:spacing w:line="540" w:lineRule="exact"/>
        <w:ind w:firstLine="720" w:firstLineChars="2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（一）收取供应商贿赂或营私舞弊的，按照《后勤保障部编制外员工管理办法》有关规定终止劳动关系，情节严重构成犯罪的，移交司法机关依法处理。</w:t>
      </w:r>
    </w:p>
    <w:p>
      <w:pPr>
        <w:spacing w:line="540" w:lineRule="exact"/>
        <w:ind w:firstLine="720" w:firstLineChars="2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（二）库管人员及库管管理人员的考核按照《库管人员绩效考核暂行办法（试行）》执行。</w:t>
      </w:r>
    </w:p>
    <w:p>
      <w:pPr>
        <w:spacing w:line="540" w:lineRule="exact"/>
        <w:ind w:firstLine="720" w:firstLineChars="200"/>
        <w:rPr>
          <w:rFonts w:ascii="仿宋" w:hAnsi="仿宋" w:eastAsia="仿宋" w:cs="仿宋"/>
          <w:kern w:val="0"/>
          <w:sz w:val="36"/>
          <w:szCs w:val="36"/>
        </w:rPr>
      </w:pPr>
      <w:r>
        <w:rPr>
          <w:rFonts w:hint="eastAsia" w:ascii="仿宋" w:hAnsi="仿宋" w:eastAsia="仿宋" w:cs="仿宋"/>
          <w:kern w:val="0"/>
          <w:sz w:val="36"/>
          <w:szCs w:val="36"/>
        </w:rPr>
        <w:t>（三）库管有重大立功行为，由材料采供科提交处理意见经部长办公会议通过后进行奖励。</w:t>
      </w:r>
    </w:p>
    <w:p>
      <w:pPr>
        <w:spacing w:line="560" w:lineRule="exact"/>
        <w:ind w:firstLine="720" w:firstLineChars="200"/>
        <w:jc w:val="left"/>
        <w:rPr>
          <w:rFonts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十、本制度由后勤保障部负责解释。</w:t>
      </w:r>
    </w:p>
    <w:p>
      <w:pPr>
        <w:spacing w:line="560" w:lineRule="exact"/>
        <w:ind w:firstLine="720" w:firstLineChars="200"/>
        <w:rPr>
          <w:rFonts w:ascii="仿宋" w:hAnsi="仿宋" w:eastAsia="仿宋" w:cs="仿宋"/>
          <w:color w:val="0070C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十一、本制度自发布之日起执行。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F86EBE"/>
    <w:multiLevelType w:val="singleLevel"/>
    <w:tmpl w:val="90F86EB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0001"/>
    <w:multiLevelType w:val="singleLevel"/>
    <w:tmpl w:val="00000001"/>
    <w:lvl w:ilvl="0" w:tentative="0">
      <w:start w:val="6"/>
      <w:numFmt w:val="chineseCounting"/>
      <w:suff w:val="nothing"/>
      <w:lvlText w:val="%1、"/>
      <w:lvlJc w:val="left"/>
      <w:rPr>
        <w:rFonts w:hint="eastAsia" w:cs="Times New Roman"/>
      </w:rPr>
    </w:lvl>
  </w:abstractNum>
  <w:abstractNum w:abstractNumId="2">
    <w:nsid w:val="2E006549"/>
    <w:multiLevelType w:val="singleLevel"/>
    <w:tmpl w:val="2E006549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27010"/>
    <w:rsid w:val="000117B7"/>
    <w:rsid w:val="001C3E8C"/>
    <w:rsid w:val="002060B4"/>
    <w:rsid w:val="00273D3D"/>
    <w:rsid w:val="002E711C"/>
    <w:rsid w:val="003B7F75"/>
    <w:rsid w:val="005210C8"/>
    <w:rsid w:val="00550E3D"/>
    <w:rsid w:val="005649C5"/>
    <w:rsid w:val="00566391"/>
    <w:rsid w:val="005745F8"/>
    <w:rsid w:val="00575B63"/>
    <w:rsid w:val="006472D7"/>
    <w:rsid w:val="0069130C"/>
    <w:rsid w:val="006A10AF"/>
    <w:rsid w:val="00743926"/>
    <w:rsid w:val="007A6CEC"/>
    <w:rsid w:val="009064CF"/>
    <w:rsid w:val="009567D2"/>
    <w:rsid w:val="0099778B"/>
    <w:rsid w:val="00A27010"/>
    <w:rsid w:val="00A7784D"/>
    <w:rsid w:val="00B7152E"/>
    <w:rsid w:val="00F83856"/>
    <w:rsid w:val="0A8D74C0"/>
    <w:rsid w:val="0C6F435F"/>
    <w:rsid w:val="0EB63F09"/>
    <w:rsid w:val="0FD55763"/>
    <w:rsid w:val="1596089B"/>
    <w:rsid w:val="1A135AAF"/>
    <w:rsid w:val="1B7138DA"/>
    <w:rsid w:val="1BE232CD"/>
    <w:rsid w:val="1FF91EF3"/>
    <w:rsid w:val="20356561"/>
    <w:rsid w:val="26035B44"/>
    <w:rsid w:val="2BB82092"/>
    <w:rsid w:val="34E261FA"/>
    <w:rsid w:val="40B120E1"/>
    <w:rsid w:val="44765393"/>
    <w:rsid w:val="46DB0DF9"/>
    <w:rsid w:val="470F57C2"/>
    <w:rsid w:val="490600E7"/>
    <w:rsid w:val="4C474D95"/>
    <w:rsid w:val="514A2148"/>
    <w:rsid w:val="525013C5"/>
    <w:rsid w:val="526E015D"/>
    <w:rsid w:val="532F007B"/>
    <w:rsid w:val="5C40411C"/>
    <w:rsid w:val="5C801B53"/>
    <w:rsid w:val="5D0172C6"/>
    <w:rsid w:val="5DAB6675"/>
    <w:rsid w:val="5F184967"/>
    <w:rsid w:val="65DE67BE"/>
    <w:rsid w:val="67053BCA"/>
    <w:rsid w:val="68FC0B66"/>
    <w:rsid w:val="6A6447F4"/>
    <w:rsid w:val="7B4316A3"/>
    <w:rsid w:val="7E082E5B"/>
    <w:rsid w:val="7E42184A"/>
    <w:rsid w:val="7ED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99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unhideWhenUsed="0" w:uiPriority="0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99" w:semiHidden="0" w:name="HTML Variable"/>
    <w:lsdException w:qFormat="1" w:uiPriority="99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2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30"/>
    <w:qFormat/>
    <w:uiPriority w:val="99"/>
    <w:rPr>
      <w:b/>
      <w:bCs/>
    </w:rPr>
  </w:style>
  <w:style w:type="paragraph" w:styleId="4">
    <w:name w:val="annotation text"/>
    <w:basedOn w:val="1"/>
    <w:link w:val="29"/>
    <w:qFormat/>
    <w:uiPriority w:val="99"/>
    <w:pPr>
      <w:jc w:val="left"/>
    </w:pPr>
  </w:style>
  <w:style w:type="paragraph" w:styleId="5">
    <w:name w:val="Body Text"/>
    <w:basedOn w:val="1"/>
    <w:link w:val="22"/>
    <w:qFormat/>
    <w:uiPriority w:val="99"/>
    <w:rPr>
      <w:rFonts w:ascii="PMingLiU" w:hAnsi="PMingLiU" w:eastAsia="PMingLiU" w:cs="PMingLiU"/>
      <w:sz w:val="30"/>
      <w:szCs w:val="30"/>
      <w:lang w:val="zh-CN"/>
    </w:rPr>
  </w:style>
  <w:style w:type="paragraph" w:styleId="6">
    <w:name w:val="Balloon Text"/>
    <w:basedOn w:val="1"/>
    <w:link w:val="23"/>
    <w:qFormat/>
    <w:uiPriority w:val="99"/>
    <w:rPr>
      <w:sz w:val="18"/>
      <w:szCs w:val="18"/>
    </w:rPr>
  </w:style>
  <w:style w:type="paragraph" w:styleId="7">
    <w:name w:val="footer"/>
    <w:basedOn w:val="1"/>
    <w:link w:val="3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3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FollowedHyperlink"/>
    <w:basedOn w:val="10"/>
    <w:qFormat/>
    <w:uiPriority w:val="99"/>
    <w:rPr>
      <w:rFonts w:cs="Times New Roman"/>
      <w:color w:val="0063C8"/>
      <w:u w:val="none"/>
    </w:rPr>
  </w:style>
  <w:style w:type="character" w:styleId="12">
    <w:name w:val="Emphasis"/>
    <w:basedOn w:val="10"/>
    <w:qFormat/>
    <w:uiPriority w:val="99"/>
    <w:rPr>
      <w:rFonts w:cs="Times New Roman"/>
    </w:rPr>
  </w:style>
  <w:style w:type="character" w:styleId="13">
    <w:name w:val="HTML Definition"/>
    <w:basedOn w:val="10"/>
    <w:qFormat/>
    <w:uiPriority w:val="99"/>
    <w:rPr>
      <w:rFonts w:cs="Times New Roman"/>
    </w:rPr>
  </w:style>
  <w:style w:type="character" w:styleId="14">
    <w:name w:val="HTML Acronym"/>
    <w:basedOn w:val="10"/>
    <w:qFormat/>
    <w:uiPriority w:val="99"/>
    <w:rPr>
      <w:rFonts w:cs="Times New Roman"/>
    </w:rPr>
  </w:style>
  <w:style w:type="character" w:styleId="15">
    <w:name w:val="HTML Variable"/>
    <w:basedOn w:val="10"/>
    <w:qFormat/>
    <w:uiPriority w:val="99"/>
    <w:rPr>
      <w:rFonts w:cs="Times New Roman"/>
    </w:rPr>
  </w:style>
  <w:style w:type="character" w:styleId="16">
    <w:name w:val="Hyperlink"/>
    <w:basedOn w:val="10"/>
    <w:qFormat/>
    <w:uiPriority w:val="99"/>
    <w:rPr>
      <w:rFonts w:cs="Times New Roman"/>
      <w:color w:val="0063C8"/>
      <w:u w:val="none"/>
    </w:rPr>
  </w:style>
  <w:style w:type="character" w:styleId="17">
    <w:name w:val="HTML Code"/>
    <w:basedOn w:val="10"/>
    <w:qFormat/>
    <w:uiPriority w:val="99"/>
    <w:rPr>
      <w:rFonts w:ascii="Courier New" w:hAnsi="Courier New" w:cs="Times New Roman"/>
      <w:sz w:val="20"/>
    </w:rPr>
  </w:style>
  <w:style w:type="character" w:styleId="18">
    <w:name w:val="annotation reference"/>
    <w:basedOn w:val="10"/>
    <w:qFormat/>
    <w:uiPriority w:val="99"/>
    <w:rPr>
      <w:rFonts w:cs="Times New Roman"/>
      <w:sz w:val="21"/>
      <w:szCs w:val="21"/>
    </w:rPr>
  </w:style>
  <w:style w:type="character" w:styleId="19">
    <w:name w:val="HTML Cite"/>
    <w:basedOn w:val="10"/>
    <w:qFormat/>
    <w:uiPriority w:val="99"/>
    <w:rPr>
      <w:rFonts w:cs="Times New Roman"/>
    </w:rPr>
  </w:style>
  <w:style w:type="table" w:styleId="21">
    <w:name w:val="Table Grid"/>
    <w:basedOn w:val="20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正文文本 Char"/>
    <w:basedOn w:val="10"/>
    <w:link w:val="5"/>
    <w:qFormat/>
    <w:uiPriority w:val="99"/>
    <w:rPr>
      <w:rFonts w:cs="Times New Roman"/>
      <w:sz w:val="24"/>
      <w:szCs w:val="24"/>
    </w:rPr>
  </w:style>
  <w:style w:type="character" w:customStyle="1" w:styleId="23">
    <w:name w:val="批注框文本 Char"/>
    <w:basedOn w:val="10"/>
    <w:link w:val="6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4">
    <w:name w:val="hover39"/>
    <w:basedOn w:val="10"/>
    <w:qFormat/>
    <w:uiPriority w:val="99"/>
    <w:rPr>
      <w:rFonts w:cs="Times New Roman"/>
      <w:color w:val="3EAF0E"/>
    </w:rPr>
  </w:style>
  <w:style w:type="character" w:customStyle="1" w:styleId="25">
    <w:name w:val="btn-task-gray"/>
    <w:basedOn w:val="10"/>
    <w:qFormat/>
    <w:uiPriority w:val="99"/>
    <w:rPr>
      <w:rFonts w:cs="Times New Roman"/>
      <w:color w:val="FFFFFF"/>
      <w:u w:val="none"/>
      <w:shd w:val="clear" w:color="auto" w:fill="CCCCCC"/>
    </w:rPr>
  </w:style>
  <w:style w:type="character" w:customStyle="1" w:styleId="26">
    <w:name w:val="btn-task-gray1"/>
    <w:basedOn w:val="10"/>
    <w:qFormat/>
    <w:uiPriority w:val="99"/>
    <w:rPr>
      <w:rFonts w:cs="Times New Roman"/>
      <w:vanish/>
      <w:color w:val="999999"/>
    </w:rPr>
  </w:style>
  <w:style w:type="paragraph" w:customStyle="1" w:styleId="27">
    <w:name w:val="p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8">
    <w:name w:val="Revision_df729a71-658f-4c3f-8e4d-41ad1e7ab0ba"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29">
    <w:name w:val="批注文字 Char"/>
    <w:basedOn w:val="10"/>
    <w:link w:val="4"/>
    <w:qFormat/>
    <w:uiPriority w:val="99"/>
    <w:rPr>
      <w:rFonts w:cs="Times New Roman"/>
      <w:sz w:val="24"/>
      <w:szCs w:val="24"/>
    </w:rPr>
  </w:style>
  <w:style w:type="character" w:customStyle="1" w:styleId="30">
    <w:name w:val="批注主题 Char"/>
    <w:basedOn w:val="29"/>
    <w:link w:val="3"/>
    <w:qFormat/>
    <w:uiPriority w:val="99"/>
    <w:rPr>
      <w:b/>
      <w:bCs/>
    </w:rPr>
  </w:style>
  <w:style w:type="character" w:customStyle="1" w:styleId="31">
    <w:name w:val="页眉 Char"/>
    <w:basedOn w:val="10"/>
    <w:link w:val="8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32">
    <w:name w:val="页脚 Char"/>
    <w:basedOn w:val="10"/>
    <w:link w:val="7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33">
    <w:name w:val="标题 1 Char"/>
    <w:basedOn w:val="10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344</Words>
  <Characters>1963</Characters>
  <Lines>16</Lines>
  <Paragraphs>4</Paragraphs>
  <TotalTime>3</TotalTime>
  <ScaleCrop>false</ScaleCrop>
  <LinksUpToDate>false</LinksUpToDate>
  <CharactersWithSpaces>2303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2018-09-28T16:33:00Z</dcterms:created>
  <dc:creator>lenovo</dc:creator>
  <cp:lastModifiedBy>lenovo</cp:lastModifiedBy>
  <cp:lastPrinted>2018-10-16T02:31:00Z</cp:lastPrinted>
  <dcterms:modified xsi:type="dcterms:W3CDTF">2018-11-25T09:53:20Z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